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0686D" w14:textId="7A804CFB" w:rsidR="005D6DCB" w:rsidRDefault="008C6DA0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535FEE5" wp14:editId="21BEBBB4">
            <wp:simplePos x="0" y="0"/>
            <wp:positionH relativeFrom="column">
              <wp:posOffset>4948555</wp:posOffset>
            </wp:positionH>
            <wp:positionV relativeFrom="paragraph">
              <wp:posOffset>-19524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89615F0" wp14:editId="383C0E91">
            <wp:simplePos x="0" y="0"/>
            <wp:positionH relativeFrom="column">
              <wp:posOffset>1200150</wp:posOffset>
            </wp:positionH>
            <wp:positionV relativeFrom="paragraph">
              <wp:posOffset>85725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D58614C" wp14:editId="27162BC0">
            <wp:simplePos x="0" y="0"/>
            <wp:positionH relativeFrom="column">
              <wp:posOffset>88265</wp:posOffset>
            </wp:positionH>
            <wp:positionV relativeFrom="paragraph">
              <wp:posOffset>-13970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E753F86" wp14:editId="6573ED66">
            <wp:simplePos x="0" y="0"/>
            <wp:positionH relativeFrom="column">
              <wp:posOffset>3862070</wp:posOffset>
            </wp:positionH>
            <wp:positionV relativeFrom="paragraph">
              <wp:posOffset>61595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E2B5A65" wp14:editId="1865343A">
            <wp:simplePos x="0" y="0"/>
            <wp:positionH relativeFrom="column">
              <wp:posOffset>2647761</wp:posOffset>
            </wp:positionH>
            <wp:positionV relativeFrom="paragraph">
              <wp:posOffset>143832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D5D987" w14:textId="77777777" w:rsidR="004D44A3" w:rsidRDefault="004D44A3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14:paraId="47E82205" w14:textId="77777777" w:rsidR="004D44A3" w:rsidRDefault="004D44A3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14:paraId="2A87CA6B" w14:textId="77777777" w:rsidR="004D44A3" w:rsidRPr="005D6DCB" w:rsidRDefault="004D44A3" w:rsidP="005D6DCB">
      <w:pPr>
        <w:pBdr>
          <w:bottom w:val="single" w:sz="12" w:space="1" w:color="auto"/>
        </w:pBdr>
        <w:ind w:left="113"/>
        <w:rPr>
          <w:rFonts w:ascii="Arial" w:hAnsi="Arial" w:cs="Arial"/>
          <w:sz w:val="20"/>
          <w:szCs w:val="20"/>
        </w:rPr>
      </w:pPr>
    </w:p>
    <w:p w14:paraId="20731077" w14:textId="516DA335" w:rsidR="005D6DCB" w:rsidRPr="005D6DCB" w:rsidRDefault="005D6DCB" w:rsidP="005D6DCB">
      <w:pPr>
        <w:spacing w:before="100" w:beforeAutospacing="1" w:after="100" w:afterAutospacing="1" w:line="240" w:lineRule="auto"/>
        <w:jc w:val="right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1</w:t>
      </w:r>
      <w:r w:rsidR="004219A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1</w:t>
      </w:r>
    </w:p>
    <w:p w14:paraId="794B6A3C" w14:textId="65FC8C02" w:rsidR="000D5B25" w:rsidRPr="00046218" w:rsidRDefault="00023102" w:rsidP="00023102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AVVISO </w:t>
      </w:r>
      <w:r w:rsidR="00D22C36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MEDIUM</w:t>
      </w:r>
      <w:r w:rsidRPr="00046218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202</w:t>
      </w:r>
      <w:r w:rsidR="00090911" w:rsidRPr="00046218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3</w:t>
      </w:r>
    </w:p>
    <w:p w14:paraId="5D378B29" w14:textId="6A6B6C4A" w:rsidR="00464BB3" w:rsidRPr="005D6DCB" w:rsidRDefault="00464BB3" w:rsidP="00464BB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046218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LEGGE 11 dicembre 2016, n. 232 </w:t>
      </w:r>
      <w:r w:rsidR="00830C8B" w:rsidRPr="00046218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e ss.mm.ii</w:t>
      </w: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14:paraId="36E29E67" w14:textId="77777777" w:rsidR="00464BB3" w:rsidRPr="007D0797" w:rsidRDefault="00464BB3" w:rsidP="00464BB3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Bilancio di previsione dello Stato per l'anno finanziario 2017 e bilancio pluriennale per il triennio 2017-2019. (16G00242) </w:t>
      </w:r>
      <w:hyperlink r:id="rId10" w:tgtFrame="_blank" w:history="1">
        <w:r w:rsidRPr="007D0797">
          <w:rPr>
            <w:rFonts w:ascii="Arial" w:eastAsia="Times New Roman" w:hAnsi="Arial" w:cs="Arial"/>
            <w:b/>
            <w:bCs/>
            <w:sz w:val="20"/>
            <w:szCs w:val="20"/>
            <w:u w:val="single"/>
            <w:lang w:eastAsia="it-IT"/>
          </w:rPr>
          <w:t>(GU Serie Generale n.297 del 21-12-2016 - Suppl. Ordinario n. 57)</w:t>
        </w:r>
      </w:hyperlink>
      <w:r w:rsidRPr="007D0797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</w:p>
    <w:p w14:paraId="2EE3AE96" w14:textId="77777777" w:rsidR="0024290F" w:rsidRDefault="0024290F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14:paraId="6FAD69CF" w14:textId="77777777" w:rsidR="00F51F92" w:rsidRDefault="0024290F" w:rsidP="00F51F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F51F92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>SEZIONE</w:t>
      </w:r>
      <w:r w:rsidR="00464BB3" w:rsidRPr="00F51F92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t xml:space="preserve"> A</w:t>
      </w:r>
    </w:p>
    <w:p w14:paraId="6AC128AD" w14:textId="77777777" w:rsidR="00F51F92" w:rsidRDefault="00F51F92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14:paraId="0F426611" w14:textId="77777777" w:rsidR="00464BB3" w:rsidRDefault="00464BB3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24290F">
        <w:rPr>
          <w:rFonts w:ascii="Arial" w:eastAsia="Times New Roman" w:hAnsi="Arial" w:cs="Arial"/>
          <w:sz w:val="20"/>
          <w:szCs w:val="20"/>
          <w:u w:val="single"/>
          <w:lang w:eastAsia="it-IT"/>
        </w:rPr>
        <w:t>(Articolo 1, comma 9</w:t>
      </w:r>
      <w:r w:rsidRPr="00BE37C2">
        <w:rPr>
          <w:rFonts w:ascii="Arial" w:eastAsia="Times New Roman" w:hAnsi="Arial" w:cs="Arial"/>
          <w:sz w:val="20"/>
          <w:szCs w:val="20"/>
          <w:u w:val="single"/>
          <w:lang w:eastAsia="it-IT"/>
        </w:rPr>
        <w:t xml:space="preserve">) </w:t>
      </w:r>
      <w:r w:rsidR="005A2338" w:rsidRPr="00BE37C2">
        <w:rPr>
          <w:rFonts w:ascii="Arial" w:eastAsia="Times New Roman" w:hAnsi="Arial" w:cs="Arial"/>
          <w:sz w:val="20"/>
          <w:szCs w:val="20"/>
          <w:u w:val="single"/>
          <w:lang w:eastAsia="it-IT"/>
        </w:rPr>
        <w:t>Allegato così modificato dall’ art. 7-novies, comma 1, lett. b), c) e d), D.L. 29 dicembre 2016, n. 243, convertito, con modificazioni, dalla L. 27 febbraio 2017, n. 18</w:t>
      </w:r>
    </w:p>
    <w:p w14:paraId="01525F44" w14:textId="77777777" w:rsidR="0024290F" w:rsidRPr="0024290F" w:rsidRDefault="0024290F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14:paraId="501D52F3" w14:textId="77777777" w:rsidR="00464BB3" w:rsidRDefault="00464BB3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5D6DCB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</w:p>
    <w:p w14:paraId="1004044E" w14:textId="77777777" w:rsidR="005A2338" w:rsidRPr="00E07DA9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E07DA9">
        <w:rPr>
          <w:rFonts w:ascii="Arial" w:eastAsia="Times New Roman" w:hAnsi="Arial" w:cs="Arial"/>
          <w:b/>
          <w:sz w:val="20"/>
          <w:szCs w:val="20"/>
          <w:lang w:eastAsia="it-IT"/>
        </w:rPr>
        <w:t>Beni funzionali alla trasformazione tecnologica e digitale delle imprese secondo il modello «Industria 4.0»</w:t>
      </w:r>
    </w:p>
    <w:p w14:paraId="0525E2FB" w14:textId="77777777" w:rsidR="005A2338" w:rsidRP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</w:p>
    <w:p w14:paraId="198164F8" w14:textId="77777777"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sz w:val="20"/>
          <w:szCs w:val="20"/>
          <w:lang w:eastAsia="it-IT"/>
        </w:rPr>
        <w:t>Beni strumentali il cui funzionamento è controllato da sistemi computerizzati o gestito tramite opportuni sensori e azionamenti:</w:t>
      </w:r>
    </w:p>
    <w:p w14:paraId="140B30E6" w14:textId="77777777" w:rsidR="005A2338" w:rsidRP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C5FA0E1" w14:textId="77777777" w:rsidR="005A2338" w:rsidRPr="0010039E" w:rsidRDefault="00F51F92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per asportazione,</w:t>
      </w:r>
    </w:p>
    <w:p w14:paraId="4BAB897E" w14:textId="77777777" w:rsidR="005A2338" w:rsidRPr="0010039E" w:rsidRDefault="00F51F92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2</w:t>
      </w: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operanti con laser e altri processi a flusso di energia (ad esempio plasma, waterjet, fascio di elettroni), elettroerosione, processi elettrochimici,</w:t>
      </w:r>
    </w:p>
    <w:p w14:paraId="0EC671A1" w14:textId="77777777" w:rsidR="005A2338" w:rsidRPr="0010039E" w:rsidRDefault="00F51F92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A.3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e impianti per la realizzazione di prodotti mediante la trasformazione dei materiali e delle materie prime,</w:t>
      </w:r>
    </w:p>
    <w:p w14:paraId="6E01F292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A.4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per la deformazione plastica dei metalli e altri materiali,</w:t>
      </w:r>
    </w:p>
    <w:p w14:paraId="5BC3B702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A.5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per l'assemblaggio, la giunzione e la saldatura,</w:t>
      </w:r>
    </w:p>
    <w:p w14:paraId="7E50BE2F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A.6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per il confezionamento e l'imballaggio,</w:t>
      </w:r>
    </w:p>
    <w:p w14:paraId="7A9D17F1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A.7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di de-produzione e riconfezionamento per recuperare materiali e funzioni da scarti industriali e prodotti di ritorno a fine vita (ad esempio macchine per il disassemblaggio, la separazione, la frantumazione, il recupero chimico),</w:t>
      </w:r>
    </w:p>
    <w:p w14:paraId="77AC76F4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A.8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robot, robot collaborativi e sistemi multi-robot,</w:t>
      </w:r>
    </w:p>
    <w:p w14:paraId="2E5C58F7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A.9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utensili e sistemi per il conferimento o la modifica delle caratteristiche superficiali dei prodotti o la funzionalizzazione delle superfici,</w:t>
      </w:r>
    </w:p>
    <w:p w14:paraId="27CDCBFB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A.10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 per la manifattura additiva utilizzate in ambito industriale,</w:t>
      </w:r>
    </w:p>
    <w:p w14:paraId="1D172444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A.11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macchine, anche motrici e operatrici, strumenti e dispositivi per il carico e lo scarico, la movimentazione, la pesatura e la cernita automatica dei pezzi, dispositivi di sollevamento e manipolazione automatizzati, AGV e sistemi di convogliamento e movimentazione flessibili, e/o dotati di riconoscimento dei pezzi (ad esempio RFID, visori e sistemi di visione e meccatronici),</w:t>
      </w:r>
    </w:p>
    <w:p w14:paraId="1BD71481" w14:textId="77777777" w:rsidR="005A2338" w:rsidRPr="0010039E" w:rsidRDefault="00A75F6D" w:rsidP="00E07DA9">
      <w:pPr>
        <w:pStyle w:val="Paragrafoelenco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A.12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magazzini automatizzati interconnessi ai sistemi gestionali di fabbrica.</w:t>
      </w:r>
    </w:p>
    <w:p w14:paraId="253A5D80" w14:textId="77777777"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B21B9A9" w14:textId="77777777" w:rsidR="005A2338" w:rsidRP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b/>
          <w:sz w:val="20"/>
          <w:szCs w:val="20"/>
          <w:lang w:eastAsia="it-IT"/>
        </w:rPr>
        <w:t>Tutte le macchine sopra citate devono essere dotate delle seguenti caratteristiche:</w:t>
      </w:r>
    </w:p>
    <w:p w14:paraId="67DC7124" w14:textId="77777777"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EED6FBC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controllo per mezzo di CNC (Computer Numerical Control) e/o PLC (Programmable Logic Controller),</w:t>
      </w:r>
    </w:p>
    <w:p w14:paraId="45E44A3A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interconnessione ai sistemi informatici di fabbrica con caricamento da remoto di istruzioni e/o part program,</w:t>
      </w:r>
    </w:p>
    <w:p w14:paraId="62005F1F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integrazione automatizzata con il sistema logistico della fabbrica o con la rete di fornitura e/o con altre macchine del ciclo produttivo,</w:t>
      </w:r>
    </w:p>
    <w:p w14:paraId="434E101D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interfaccia tra uomo e macchina semplici e intuitive,</w:t>
      </w:r>
    </w:p>
    <w:p w14:paraId="24CCF8EF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lastRenderedPageBreak/>
        <w:t>rispondenza ai più recenti parametri di sicurezza, salute e igiene del lavoro.</w:t>
      </w:r>
    </w:p>
    <w:p w14:paraId="6676BED7" w14:textId="77777777" w:rsidR="00A20979" w:rsidRDefault="00A20979" w:rsidP="008B2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14:paraId="74842C06" w14:textId="77777777" w:rsidR="005A2338" w:rsidRDefault="005A2338" w:rsidP="008B2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b/>
          <w:sz w:val="20"/>
          <w:szCs w:val="20"/>
          <w:lang w:eastAsia="it-IT"/>
        </w:rPr>
        <w:t>Inoltre tutte le macchine sopra citate devono essere dotate di almeno due tra le seguenti caratteristiche per renderle assimilabili o integrabili a sistemi cyberfisici:</w:t>
      </w:r>
    </w:p>
    <w:p w14:paraId="0D99CDEE" w14:textId="77777777" w:rsidR="008B2C3D" w:rsidRPr="008B2C3D" w:rsidRDefault="008B2C3D" w:rsidP="008B2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14:paraId="607DDEBA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sistemi di telemanutenzione e/o telediagnosi e/o controllo in remoto,</w:t>
      </w:r>
    </w:p>
    <w:p w14:paraId="57D67969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monitoraggio continuo delle condizioni di lavoro e dei parametri di processo mediante opportuni set di sensori e adattività alle derive di processo,</w:t>
      </w:r>
    </w:p>
    <w:p w14:paraId="59FC83F0" w14:textId="77777777" w:rsidR="005A2338" w:rsidRPr="008B2C3D" w:rsidRDefault="005A2338" w:rsidP="008B2C3D">
      <w:pPr>
        <w:pStyle w:val="Paragrafoelenco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8B2C3D">
        <w:rPr>
          <w:rFonts w:ascii="Arial" w:eastAsia="Times New Roman" w:hAnsi="Arial" w:cs="Arial"/>
          <w:sz w:val="20"/>
          <w:szCs w:val="20"/>
          <w:lang w:eastAsia="it-IT"/>
        </w:rPr>
        <w:t>caratteristiche di integrazione tra macchina fisica e/o impianto con la modellizzazione e/o la simulazione del proprio comportamento nello svolgimento del processo (sistema cyberfisico),</w:t>
      </w:r>
    </w:p>
    <w:p w14:paraId="475E8360" w14:textId="77777777" w:rsidR="005A2338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FE2D704" w14:textId="77777777"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5A2338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Costituiscono inoltre beni funzionali alla trasformazione tecnologica e/o digitale delle imprese </w:t>
      </w:r>
      <w:r w:rsidRPr="0010039E">
        <w:rPr>
          <w:rFonts w:ascii="Arial" w:eastAsia="Times New Roman" w:hAnsi="Arial" w:cs="Arial"/>
          <w:b/>
          <w:sz w:val="20"/>
          <w:szCs w:val="20"/>
          <w:lang w:eastAsia="it-IT"/>
        </w:rPr>
        <w:t>secondo il modello ‘Industria 4.0’ i seguenti:</w:t>
      </w:r>
    </w:p>
    <w:p w14:paraId="0C5F5F77" w14:textId="77777777"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1DE15BF" w14:textId="77777777" w:rsidR="005A2338" w:rsidRPr="0010039E" w:rsidRDefault="00A20979" w:rsidP="00A20979">
      <w:pPr>
        <w:pStyle w:val="Paragrafoelenco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A.13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dispositivi, strumentazione e componentistica intelligente per l'integrazione, la sensorizzazione e/o l'interconnessione e il controllo automatico dei processi utilizzati anche nell'ammodernamento o nel revamping dei sistemi di produzione esistenti.</w:t>
      </w:r>
    </w:p>
    <w:p w14:paraId="7FF51F18" w14:textId="77777777" w:rsidR="00B527E8" w:rsidRPr="0010039E" w:rsidRDefault="00B527E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9B6CC55" w14:textId="77777777"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sz w:val="20"/>
          <w:szCs w:val="20"/>
          <w:lang w:eastAsia="it-IT"/>
        </w:rPr>
        <w:t>Sistemi per l'assicurazione della qualità e della sostenibilità:</w:t>
      </w:r>
    </w:p>
    <w:p w14:paraId="74C9D961" w14:textId="77777777" w:rsidR="00B527E8" w:rsidRPr="0010039E" w:rsidRDefault="00B527E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</w:p>
    <w:p w14:paraId="7EA54BDB" w14:textId="77777777"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A.14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di misura a coordinate e no (a contatto, non a contatto, multi-sensore o basati su tomografia computerizzata tridimensionale) e relativa strumentazione per la verifica dei requisiti micro e macro geometrici di prodotto per qualunque livello di scala dimensionale (dalla larga scala alla scala micro-metrica o nano-metrica) al fine di assicurare e tracciare la qualità del prodotto e che consentono di qualificare i processi di produzione in maniera documentabile e connessa al sistema informativo di fabbrica,</w:t>
      </w:r>
    </w:p>
    <w:p w14:paraId="265C06DF" w14:textId="77777777"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A.15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altri sistemi di monitoraggio in process per assicurare e tracciare la qualità del prodotto o del processo produttivo e che consentono di qualificare i processi di produzione in maniera documentabile e connessa al sistema informativo di fabbrica,</w:t>
      </w:r>
    </w:p>
    <w:p w14:paraId="33806BA9" w14:textId="77777777"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A.16 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-</w:t>
      </w:r>
      <w:r w:rsidR="00D75C58"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per l'ispezione e la caratterizzazione dei materiali (ad esempio macchine di prova materiali, macchine per il collaudo dei prodotti realizzati, sistemi per prove o collaudi non distruttivi, tomografia) in grado di verificare le caratteristiche dei materiali in ingresso o in uscita al processo e che vanno a costituire il prodotto risultante a livello macro (ad esempio caratteristiche meccaniche) o micro (ad esempio porosità, inclusioni) e di generare opportuni report di collaudo da inserire nel sistema informativo aziendale,</w:t>
      </w:r>
    </w:p>
    <w:p w14:paraId="60AEF348" w14:textId="77777777" w:rsidR="005A2338" w:rsidRPr="0010039E" w:rsidRDefault="00A20979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A.17</w:t>
      </w:r>
      <w:r w:rsidR="00D75C58"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-</w:t>
      </w:r>
      <w:r w:rsidRPr="0010039E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dispositivi intelligenti per il test delle polveri metalliche e sistemi di monitoraggio in continuo che consentono di qualificare i processi di produzione mediante tecnologie additive,</w:t>
      </w:r>
    </w:p>
    <w:p w14:paraId="32B7F689" w14:textId="77777777"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A.18 -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intelligenti e connessi di marcatura e tracciabilità dei lotti produttivi e/o dei singoli prodotti (ad esempio RFID - Radio Frequency Identification),</w:t>
      </w:r>
    </w:p>
    <w:p w14:paraId="5679B664" w14:textId="77777777"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A.19 -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di monitoraggio e controllo delle condizioni di lavoro delle macchine (ad esempio forze, coppia e potenza di lavorazione; usura tridimensionale degli utensili a bordo macchina; stato di componenti o sotto-insiemi delle macchine) e dei sistemi di produzione interfacciati con i sistemi informativi di fabbrica e/o con soluzioni cloud,</w:t>
      </w:r>
    </w:p>
    <w:p w14:paraId="16570541" w14:textId="77777777"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A.20 -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strumenti e dispositivi per l'etichettatura, l'identificazione o la marcatura automatica dei prodotti, con collegamento con il codice e la matricola del prodotto stesso in modo da consentire ai manutentori di monitorare la costanza delle prestazioni dei prodotti nel tempo e di agire sul processo di progettazione dei futuri prodotti in maniera sinergica, consentendo il richiamo di prodotti difettosi o dannosi,</w:t>
      </w:r>
    </w:p>
    <w:p w14:paraId="237149CF" w14:textId="77777777"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A.21 -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componenti, sistemi e soluzioni intelligenti per la gestione, l'utilizzo efficiente e il monitoraggio dei consumi energetici e idrici e per la riduzione delle emissioni,</w:t>
      </w:r>
    </w:p>
    <w:p w14:paraId="4C2950B5" w14:textId="77777777" w:rsidR="005A2338" w:rsidRPr="0010039E" w:rsidRDefault="00D75C58" w:rsidP="00B527E8">
      <w:pPr>
        <w:pStyle w:val="Paragrafoelenco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A.22 -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filtri e sistemi di trattamento e recupero di acqua, aria, olio, sostanze chimiche, polveri con sistemi di segnalazione dell'efficienza filtrante e della presenza di anomalie o sostanze aliene al processo o pericolose, integrate con il sistema di fabbrica e in grado di avvisare gli operatori e/o di fermare le attività di macchine e impianti.</w:t>
      </w:r>
    </w:p>
    <w:p w14:paraId="680A06AB" w14:textId="77777777" w:rsidR="0096690C" w:rsidRPr="0010039E" w:rsidRDefault="0096690C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3AEC2EF" w14:textId="77777777" w:rsidR="005A2338" w:rsidRPr="0010039E" w:rsidRDefault="005A2338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sz w:val="20"/>
          <w:szCs w:val="20"/>
          <w:lang w:eastAsia="it-IT"/>
        </w:rPr>
        <w:t>Dispositivi per l'interazione uomo macchina e per il miglioramento dell'ergonomia e della sicurezza del posto di lavoro in logica «4.0»:</w:t>
      </w:r>
    </w:p>
    <w:p w14:paraId="42792B7B" w14:textId="77777777" w:rsidR="0096690C" w:rsidRPr="0010039E" w:rsidRDefault="0096690C" w:rsidP="005A23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D85F3A9" w14:textId="77777777"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A.23 -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banchi e postazioni di lavoro dotati di soluzioni ergonomiche in grado di adattarli in maniera automatizzata alle caratteristiche fisiche degli operatori (ad esempio caratteristiche biometriche, età, presenza di disabilità),</w:t>
      </w:r>
    </w:p>
    <w:p w14:paraId="56E17C66" w14:textId="77777777"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lastRenderedPageBreak/>
        <w:t xml:space="preserve">A.24 -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sistemi per il sollevamento/traslazione di parti pesanti o oggetti esposti ad alte temperature in grado di agevolare in maniera intelligente/robotizzata/interattiva il compito dell'operatore,</w:t>
      </w:r>
    </w:p>
    <w:p w14:paraId="236E4560" w14:textId="77777777"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A.25 -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dispositivi wearable, apparecchiature di comunicazione tra operatore/operatori e sistema produttivo, dispositivi di realtà aumentata e virtual reality,</w:t>
      </w:r>
    </w:p>
    <w:p w14:paraId="58683210" w14:textId="77777777" w:rsidR="005A2338" w:rsidRPr="0010039E" w:rsidRDefault="00D75C58" w:rsidP="00B527E8">
      <w:pPr>
        <w:pStyle w:val="Paragrafoelenco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A.26 - </w:t>
      </w:r>
      <w:r w:rsidR="005A2338" w:rsidRPr="0010039E">
        <w:rPr>
          <w:rFonts w:ascii="Arial" w:eastAsia="Times New Roman" w:hAnsi="Arial" w:cs="Arial"/>
          <w:sz w:val="20"/>
          <w:szCs w:val="20"/>
          <w:lang w:eastAsia="it-IT"/>
        </w:rPr>
        <w:t>interfacce uomo-macchina (HMI) intelligenti che coadiuvano l'operatore a fini di sicurezza ed efficienza delle operazioni di lavorazione, manutenzione, logistica.</w:t>
      </w:r>
    </w:p>
    <w:p w14:paraId="305586E0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C240AE7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DC31D5A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149F2F0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CF9DB19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85715F0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FF17972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DCCDB6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70A328D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D41F1D0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5E680F1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6ED893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1B62A38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47E905F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67540D0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B443D28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3EB2052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E4395C5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1D5984F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A40DE59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59ED964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A06C218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050FAB9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DAF432E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7B1097E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DC5D71B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9D9E05B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680C9B7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5C75656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B47E773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087082F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751D203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8F275E3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8A1532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00059F5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887F4D4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2C84759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866157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F528B69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CBB2DC9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3D84E6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C44FC8B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D9937A3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9F84B92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577F456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5E547F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8073FA0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920B5FE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6F29516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34E2F3B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976B3CA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9DC1F8E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CB355E4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6F2D45B" w14:textId="77777777" w:rsidR="00B527E8" w:rsidRDefault="00B527E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CC9A0AA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270D0F9" w14:textId="77777777" w:rsidR="00A20979" w:rsidRPr="00A20979" w:rsidRDefault="00BE2CCE" w:rsidP="00A2097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</w:pPr>
      <w:r w:rsidRPr="00A20979">
        <w:rPr>
          <w:rFonts w:ascii="Arial" w:eastAsia="Times New Roman" w:hAnsi="Arial" w:cs="Arial"/>
          <w:b/>
          <w:bCs/>
          <w:sz w:val="20"/>
          <w:szCs w:val="20"/>
          <w:u w:val="single"/>
          <w:lang w:eastAsia="it-IT"/>
        </w:rPr>
        <w:lastRenderedPageBreak/>
        <w:t>(SEZIONE B )</w:t>
      </w:r>
    </w:p>
    <w:p w14:paraId="7D0DAFF4" w14:textId="77777777" w:rsidR="00A20979" w:rsidRDefault="00A20979" w:rsidP="00BE2CC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14:paraId="11241922" w14:textId="77777777" w:rsidR="00BE2CCE" w:rsidRDefault="00BE2CCE" w:rsidP="000000B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  <w:r w:rsidRPr="00BE37C2">
        <w:rPr>
          <w:rFonts w:ascii="Arial" w:eastAsia="Times New Roman" w:hAnsi="Arial" w:cs="Arial"/>
          <w:sz w:val="20"/>
          <w:szCs w:val="20"/>
          <w:u w:val="single"/>
          <w:lang w:eastAsia="it-IT"/>
        </w:rPr>
        <w:t>(Articolo 1, comma 10) Allegato così modificato dall’ art. 1, comma 32, L. 27 dicembre 2017, n. 205, a decorrere dal 1° gennaio 2018.</w:t>
      </w:r>
    </w:p>
    <w:p w14:paraId="30E4D9A3" w14:textId="77777777" w:rsidR="00BE2CCE" w:rsidRPr="0024290F" w:rsidRDefault="00BE2CCE" w:rsidP="00BE2CC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it-IT"/>
        </w:rPr>
      </w:pPr>
    </w:p>
    <w:p w14:paraId="567E031A" w14:textId="77777777" w:rsidR="00BE2CCE" w:rsidRPr="00EE205C" w:rsidRDefault="00BE2CCE" w:rsidP="00BE2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EE205C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 </w:t>
      </w:r>
    </w:p>
    <w:p w14:paraId="3B49E1D3" w14:textId="77777777" w:rsidR="00BE2CCE" w:rsidRPr="00BE2CCE" w:rsidRDefault="00BE2CCE" w:rsidP="00BE2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BE2CCE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Beni immateriali (software, sistemi e system integration, piattaforme e applicazioni) connessi a investimenti in beni materiali «Industria 4.0» </w:t>
      </w:r>
    </w:p>
    <w:p w14:paraId="1C692C47" w14:textId="77777777" w:rsidR="00BE2CCE" w:rsidRDefault="00BE2CCE" w:rsidP="00BE2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9D4645B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progettazione, definizione/qualificazione delle prestazioni e produzione di manufatti in materiali non convenzionali o ad alte prestazioni, in grado di permettere la progettazione, la modellazione 3D, la simulazione, la sperimentazione, la prototipazione e la verifica simultanea del processo produttivo, del prodotto e delle sue caratteristiche (funzionali e di impatto ambientale) e/o l'archiviazione digitale e integrata nel sistema informativo aziendale delle informazioni relative al ciclo di vita del prodotto (sistemi EDM, PDM, PLM, Big Data Analytics),</w:t>
      </w:r>
    </w:p>
    <w:p w14:paraId="341AB241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progettazione e la ri-progettazione dei sistemi produttivi che tengano conto dei flussi dei materiali e delle informazioni,</w:t>
      </w:r>
    </w:p>
    <w:p w14:paraId="7F352E1E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B.3 -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supporto alle decisioni in grado di interpretare dati analizzati dal campo e visualizzare agli operatori in linea specifiche azioni per migliorare la qualità del prodotto e l'efficienza del sistema di produzione,</w:t>
      </w:r>
    </w:p>
    <w:p w14:paraId="3637322E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B.4 -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gestione e il coordinamento della produzione con elevate caratteristiche di integrazione delle attività di servizio, come la logistica di fabbrica e la manutenzione (quali ad esempio sistemi di comunicazione intra-fabbrica, bus di campo/ fieldbus, sistemi SCADA, sistemi MES, sistemi CMMS, soluzioni innovative con caratteristiche riconducibili ai paradigmi dell'IoT e/o del cloud computing),</w:t>
      </w:r>
    </w:p>
    <w:p w14:paraId="7E8CDD28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B.5 -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il monitoraggio e controllo delle condizioni di lavoro delle macchine e dei sistemi di produzione interfacciati con i sistemi informativi di fabbrica e/o con soluzioni cloud,</w:t>
      </w:r>
    </w:p>
    <w:p w14:paraId="7D0D4E8C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B.6 -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realtà virtuale per lo studio realistico di componenti e operazioni (ad esempio di assemblaggio), sia in contesti immersivi o solo visuali,</w:t>
      </w:r>
    </w:p>
    <w:p w14:paraId="028B5D5B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B.7 -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reverse modeling and engineering per la ricostruzione virtuale di contesti reali,</w:t>
      </w:r>
    </w:p>
    <w:p w14:paraId="37890F5A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B.8 -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in grado di comunicare e condividere dati e informazioni sia tra loro che con l'ambiente e gli attori circostanti (Industrial Internet of Things) grazie ad una rete di sensori intelligenti interconnessi,</w:t>
      </w:r>
    </w:p>
    <w:p w14:paraId="201EB861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B.9 -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il dispatching delle attività e l'instradamento dei prodotti nei sistemi produttivi,</w:t>
      </w:r>
    </w:p>
    <w:p w14:paraId="5594330F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B.10 -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gestione della qualità a livello di sistema produttivo e dei relativi processi,</w:t>
      </w:r>
    </w:p>
    <w:p w14:paraId="3177ADC7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B.11 -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l'accesso a un insieme virtualizzato, condiviso e configurabile di risorse a supporto di processi produttivi e di gestione della produzione e/o della supply chain (cloud computing),</w:t>
      </w:r>
    </w:p>
    <w:p w14:paraId="57527146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B.12 -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industrial analytics dedicati al trattamento ed all'elaborazione dei big data provenienti dalla sensoristica IoT applicata in ambito industriale (Data Analytics &amp; Visualization, Simulation e Forecasting),</w:t>
      </w:r>
    </w:p>
    <w:p w14:paraId="10D07D4C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B.13 -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artificial intelligence &amp; machine learning che consentono alle macchine di mostrare un'abilità e/o attività intelligente in campi specifici a garanzia della qualità del processo produttivo e del funzionamento affidabile del macchinario e/o dell'impianto,</w:t>
      </w:r>
    </w:p>
    <w:p w14:paraId="2963918C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B.14 -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produzione automatizzata e intelligente, caratterizzata da elevata capacità cognitiva, interazione e adattamento al contesto, autoapprendimento e riconfigurabilità (cybersystem),</w:t>
      </w:r>
    </w:p>
    <w:p w14:paraId="6BD35F87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B.15 -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l'utilizzo lungo le linee produttive di robot, robot collaborativi e macchine intelligenti per la sicurezza e la salute dei lavoratori, la qualità dei prodotti finali e la manutenzione predittiva,</w:t>
      </w:r>
    </w:p>
    <w:p w14:paraId="2704BCAC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B.16 -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gestione della realtà aumentata tramite wearable device,</w:t>
      </w:r>
    </w:p>
    <w:p w14:paraId="7BC6EB6C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B.17 -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dispositivi e nuove interfacce tra uomo e macchina che consentano l'acquisizione, la veicolazione e l'elaborazione di informazioni in formato vocale, visuale e tattile,</w:t>
      </w:r>
    </w:p>
    <w:p w14:paraId="19427F61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lastRenderedPageBreak/>
        <w:t xml:space="preserve">B.18 -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l'intelligenza degli impianti che garantiscano meccanismi di efficienza energetica e di decentralizzazione in cui la produzione e/o lo stoccaggio di energia possono essere anche demandate (almeno parzialmente) alla fabbrica,</w:t>
      </w:r>
    </w:p>
    <w:p w14:paraId="271D6A81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B.19 -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per la protezione di reti, dati, programmi, macchine e impianti da attacchi, danni e accessi non autorizzati (cybersecurity),</w:t>
      </w:r>
    </w:p>
    <w:p w14:paraId="2E8BAE88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B.20 -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sistemi, piattaforme e applicazioni di virtual industrialization che, simulando virtualmente il nuovo ambiente e caricando le informazioni sui sistemi cyberfisici al termine di tutte le verifiche, consentono di evitare ore di test e di fermi macchina lungo le linee produttive reali,</w:t>
      </w:r>
    </w:p>
    <w:p w14:paraId="3FB35ED0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B.21 -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sistemi di gestione della supply chain finalizzata al drop shipping nell’e-commerce,</w:t>
      </w:r>
    </w:p>
    <w:p w14:paraId="5F492F5F" w14:textId="77777777" w:rsidR="00BE2CCE" w:rsidRPr="0010039E" w:rsidRDefault="000000B5" w:rsidP="009129CD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B.22 -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 e servizi digitali per la fruizione immersiva, interattiva e partecipativa, ricostruzioni 3D, realtà aumentata,</w:t>
      </w:r>
    </w:p>
    <w:p w14:paraId="15AB393D" w14:textId="77777777" w:rsidR="00BE2CCE" w:rsidRPr="0010039E" w:rsidRDefault="000000B5" w:rsidP="0091519C">
      <w:pPr>
        <w:pStyle w:val="Paragrafoelenco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10039E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B.23 - </w:t>
      </w:r>
      <w:r w:rsidR="00BE2CCE" w:rsidRPr="0010039E">
        <w:rPr>
          <w:rFonts w:ascii="Arial" w:eastAsia="Times New Roman" w:hAnsi="Arial" w:cs="Arial"/>
          <w:sz w:val="20"/>
          <w:szCs w:val="20"/>
          <w:lang w:eastAsia="it-IT"/>
        </w:rPr>
        <w:t>software, piattaforme e applicazioni per la gestione e il coordinamento della logistica con elevate caratteristiche di integrazione delle attività di servizio (comunicazione intra-fabbrica, fabbrica-campo con integrazione telematica dei dispositivi on-field e dei dispositivi mobili, rilevazione telematica di prestazioni e guasti dei dispositivi on-field).</w:t>
      </w:r>
    </w:p>
    <w:p w14:paraId="64BF97F3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535275C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333C559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426A166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90ABD7F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C1469DB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62DE3A8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983697E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172C8DC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B9081B5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1CCB1CE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4CDF663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C7229E7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2BE5902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B69969D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CC3ECA9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35AF154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2E8E681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BDFA52C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2DD07FAC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2BEB889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9BA2B72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56219FC9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2FBC705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00F0552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B4C1A52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019A7543" w14:textId="77777777" w:rsidR="00BE2CCE" w:rsidRDefault="00BE2CCE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D914B08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9F83484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7203A3A6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10AA0AD9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66EDDE7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4643D42A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32F22A7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14:paraId="325140E1" w14:textId="77777777" w:rsidR="005A2338" w:rsidRDefault="005A2338" w:rsidP="00464B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sectPr w:rsidR="005A23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43F7D"/>
    <w:multiLevelType w:val="hybridMultilevel"/>
    <w:tmpl w:val="B5480A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C399E"/>
    <w:multiLevelType w:val="hybridMultilevel"/>
    <w:tmpl w:val="545A96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46779"/>
    <w:multiLevelType w:val="hybridMultilevel"/>
    <w:tmpl w:val="97A4D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F1FC7"/>
    <w:multiLevelType w:val="hybridMultilevel"/>
    <w:tmpl w:val="1FA665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283B"/>
    <w:multiLevelType w:val="hybridMultilevel"/>
    <w:tmpl w:val="34261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05DCA"/>
    <w:multiLevelType w:val="hybridMultilevel"/>
    <w:tmpl w:val="D7A0C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69B"/>
    <w:multiLevelType w:val="hybridMultilevel"/>
    <w:tmpl w:val="DB9C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F7BB9"/>
    <w:multiLevelType w:val="hybridMultilevel"/>
    <w:tmpl w:val="798A2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440DC"/>
    <w:multiLevelType w:val="hybridMultilevel"/>
    <w:tmpl w:val="D36A0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12C74"/>
    <w:multiLevelType w:val="hybridMultilevel"/>
    <w:tmpl w:val="317819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9808E3"/>
    <w:multiLevelType w:val="hybridMultilevel"/>
    <w:tmpl w:val="319EB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40C6B"/>
    <w:multiLevelType w:val="hybridMultilevel"/>
    <w:tmpl w:val="0EDA03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717131">
    <w:abstractNumId w:val="8"/>
  </w:num>
  <w:num w:numId="2" w16cid:durableId="837817001">
    <w:abstractNumId w:val="6"/>
  </w:num>
  <w:num w:numId="3" w16cid:durableId="886262117">
    <w:abstractNumId w:val="3"/>
  </w:num>
  <w:num w:numId="4" w16cid:durableId="1783917697">
    <w:abstractNumId w:val="5"/>
  </w:num>
  <w:num w:numId="5" w16cid:durableId="856574605">
    <w:abstractNumId w:val="10"/>
  </w:num>
  <w:num w:numId="6" w16cid:durableId="901788859">
    <w:abstractNumId w:val="11"/>
  </w:num>
  <w:num w:numId="7" w16cid:durableId="860126953">
    <w:abstractNumId w:val="1"/>
  </w:num>
  <w:num w:numId="8" w16cid:durableId="277109050">
    <w:abstractNumId w:val="9"/>
  </w:num>
  <w:num w:numId="9" w16cid:durableId="1520007116">
    <w:abstractNumId w:val="4"/>
  </w:num>
  <w:num w:numId="10" w16cid:durableId="46228747">
    <w:abstractNumId w:val="2"/>
  </w:num>
  <w:num w:numId="11" w16cid:durableId="1950046287">
    <w:abstractNumId w:val="7"/>
  </w:num>
  <w:num w:numId="12" w16cid:durableId="489103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B3"/>
    <w:rsid w:val="000000B5"/>
    <w:rsid w:val="00011817"/>
    <w:rsid w:val="00023102"/>
    <w:rsid w:val="00046218"/>
    <w:rsid w:val="000644A2"/>
    <w:rsid w:val="00090911"/>
    <w:rsid w:val="000D5B25"/>
    <w:rsid w:val="0010039E"/>
    <w:rsid w:val="0024290F"/>
    <w:rsid w:val="003224E2"/>
    <w:rsid w:val="0032549C"/>
    <w:rsid w:val="00346743"/>
    <w:rsid w:val="003B3E95"/>
    <w:rsid w:val="004219A4"/>
    <w:rsid w:val="00464BB3"/>
    <w:rsid w:val="004D44A3"/>
    <w:rsid w:val="004F5CAB"/>
    <w:rsid w:val="005243C9"/>
    <w:rsid w:val="005514EB"/>
    <w:rsid w:val="005824A7"/>
    <w:rsid w:val="005A2338"/>
    <w:rsid w:val="005B135F"/>
    <w:rsid w:val="005D6DCB"/>
    <w:rsid w:val="0071064D"/>
    <w:rsid w:val="007D0797"/>
    <w:rsid w:val="007E0DEB"/>
    <w:rsid w:val="00830C8B"/>
    <w:rsid w:val="008B2C3D"/>
    <w:rsid w:val="008C6DA0"/>
    <w:rsid w:val="009129CD"/>
    <w:rsid w:val="0096690C"/>
    <w:rsid w:val="009C3964"/>
    <w:rsid w:val="00A20979"/>
    <w:rsid w:val="00A75F6D"/>
    <w:rsid w:val="00B527E8"/>
    <w:rsid w:val="00BC600C"/>
    <w:rsid w:val="00BE2CCE"/>
    <w:rsid w:val="00BE37C2"/>
    <w:rsid w:val="00C1785F"/>
    <w:rsid w:val="00C476EF"/>
    <w:rsid w:val="00C577B8"/>
    <w:rsid w:val="00CF7AEA"/>
    <w:rsid w:val="00D139DA"/>
    <w:rsid w:val="00D22C36"/>
    <w:rsid w:val="00D34283"/>
    <w:rsid w:val="00D75C58"/>
    <w:rsid w:val="00E07DA9"/>
    <w:rsid w:val="00E477A2"/>
    <w:rsid w:val="00EE205C"/>
    <w:rsid w:val="00F51F92"/>
    <w:rsid w:val="00F5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B806C"/>
  <w15:chartTrackingRefBased/>
  <w15:docId w15:val="{7BBF871D-9AD8-418D-A8CB-96C76346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0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064D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0D5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gazzettaufficiale.it/eli/gu/2016/12/21/297/so/57/sg/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2070</Words>
  <Characters>11800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Meniconi</dc:creator>
  <cp:keywords/>
  <dc:description/>
  <cp:lastModifiedBy>Simone Peruzzi</cp:lastModifiedBy>
  <cp:revision>9</cp:revision>
  <cp:lastPrinted>2018-02-20T11:20:00Z</cp:lastPrinted>
  <dcterms:created xsi:type="dcterms:W3CDTF">2021-06-21T13:38:00Z</dcterms:created>
  <dcterms:modified xsi:type="dcterms:W3CDTF">2023-09-21T10:46:00Z</dcterms:modified>
</cp:coreProperties>
</file>